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Edward Fry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Personal Work Surface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The Personal Work Surface table enables a user to use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store their personal tools within their workspace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efficiently and securely. The center surface is solid allowing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user to write and work on it efficiently; while the side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surfaces are tambour sliding doors that give the user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storage and extra surface area. The compartments feature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power outlets and fit a variety of laptop sizes comforatably,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with room to accommodate chargers. Storage can also be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used for notebooks, textbooks, and office supplies.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